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B05" w:rsidRPr="00DE3B05" w:rsidRDefault="00DE3B05">
      <w:pPr>
        <w:rPr>
          <w:sz w:val="32"/>
          <w:szCs w:val="32"/>
        </w:rPr>
      </w:pPr>
      <w:r>
        <w:t xml:space="preserve">  </w:t>
      </w:r>
      <w:r w:rsidRPr="00DE3B05">
        <w:rPr>
          <w:sz w:val="32"/>
          <w:szCs w:val="32"/>
        </w:rPr>
        <w:t xml:space="preserve">Раздел V. ПЕРСПЕКТИВА ПАМЯТНИКА АРХИТЕКУТРЫ В ЛАНДШАФТЕ </w:t>
      </w:r>
    </w:p>
    <w:p w:rsidR="00DE3B05" w:rsidRDefault="00DE3B05"/>
    <w:p w:rsidR="00580145" w:rsidRDefault="00DE3B05">
      <w:r>
        <w:t xml:space="preserve">Раздел V. ПЕРСПЕКТИВА ПАМЯТНИКА АРХИТЕКУТРЫ В ЛАНДШАФТЕ Тема 19. Полихромное изображение памятника архитектуры, антуража и стаффажа, малых архитектурно-дизайнерских форм Пример выполнения задания приведен в прил. 5 рис. П5.1–П5.10. Цель – освоение основных правил перспективного построения архитектурных объектов и получение навыков выбора необходимых средств и приемов архитектурной графики для наиболее выразительной передачи художественного образа архитектурного памятника в ландшафте. Задачи: – освоить основные правила построения перспективных проекций и теней архитектурных объектов; – научиться выбирать необходимые приемы и средства архитектурной графики для наиболее выразительной передачи художественного образа архитектурного памятника в ландшафте; – научиться компоновать в выбранном формате перспективное изображение архитектурного памятника, </w:t>
      </w:r>
      <w:proofErr w:type="spellStart"/>
      <w:r>
        <w:t>сомасштабное</w:t>
      </w:r>
      <w:proofErr w:type="spellEnd"/>
      <w:r>
        <w:t xml:space="preserve"> архитектурному и ландшафтному окружению; – научиться выявлять художественную выразительность перспективного изображения архитектурного памятника, его композиционное построение, стилистику, функциональное назначение, в том числе и за счет мастерски выполненного в графике архитектурного и ландшафтного окружения, стаффажа. Материалы: материалы выбираются студентом самостоятельно с последующим согласованием с преподавателем в соответствии с поставленной им творческой задачей – наиболее выразительной передачей художественного образа архитектурного памятника в ландшафте средствами и приемами архитектурной графики. Методические рекомендации к аудиторному заданию: 1. Выполняются сначала в виде упражнений на бумаге формата А3 (см. методические рекомендации к выполнению самостоятельной работы), затем компонуются на планшете. 2. Выполнение графической работы, представляющей собой перспективное изображение памятника архитектуры в ландшафте с использованием средств и приемов архитектурной графики. 3. Выбирается памятник архитектуры (культовые, дворцовые, гражданские, промышленные сооружения). Это могут быть не только исторические памятники архитектуры, но и уникальные современные объекты различного функционального назначения. 37 4. Поиск композиции перспективного изображения на планшете 55</w:t>
      </w:r>
      <w:r>
        <w:sym w:font="Symbol" w:char="F0B4"/>
      </w:r>
      <w:r>
        <w:t>75 см (вертикально или горизонтально в соответствии с выбранным объектом) архитектурного памятника или уникального современного объекта проводится с учетом возможного изображения антуража и стаффажа. Необходимо также предусмотреть место для построения тени от здания, падающей на землю. Формат для эскизных поисков – А</w:t>
      </w:r>
      <w:proofErr w:type="gramStart"/>
      <w:r>
        <w:t>4</w:t>
      </w:r>
      <w:proofErr w:type="gramEnd"/>
      <w:r>
        <w:t xml:space="preserve">, А3. 5. Построить в тонких линиях карандашом перспективу здания, применив метод архитектора. Построения должны выполняться с высокой точностью и аккуратностью при помощи чертежных инструментов. 6. Выбор точки зрения должен обеспечивать наиболее полную информацию об архитектурном памятнике и наиболее ярко отражать художественный замысел всего объекта вместе с ландшафтом. 7. Построить собственные и падающие тени в перспективе. 8. Показать вид окружающей местности или городской застройки (антураж). 9. Выбрать необходимые средства и приемы архитектурной графики для наиболее выразительной передачи художественного образа архитектурного объекта в ландшафте (приветствуется выбор </w:t>
      </w:r>
      <w:proofErr w:type="gramStart"/>
      <w:r>
        <w:t>из</w:t>
      </w:r>
      <w:proofErr w:type="gramEnd"/>
      <w:r>
        <w:t xml:space="preserve"> освоенных в предыдущих заданиях, например, многослойная полихромная отмывка и т. д.). 10. Провести окончательное выполнение перспективного изображения архитектурного памятника в ландшафте в выбранной технике. Самостоятельная работа студентов: изучить метод архитектора для построения перспективных изображений архитектурных объектов и закрепить полученные навыки архитектурной графики на примере перспективного изображения архитектурного памятника в ландшафте. Упражнения выполняются на листах формата А3: – выбор наиболее </w:t>
      </w:r>
      <w:r>
        <w:lastRenderedPageBreak/>
        <w:t>удачной точки зрения, более полно раскрывающей художественный образ архитектурного памятника на основе проработанных вариантов (не менее трех) эскизных построений перспективы с разных точек зрения; – поиск необходимых графических сре</w:t>
      </w:r>
      <w:proofErr w:type="gramStart"/>
      <w:r>
        <w:t>дств дл</w:t>
      </w:r>
      <w:proofErr w:type="gramEnd"/>
      <w:r>
        <w:t xml:space="preserve">я изображения архитектурного памятника. Разработка не менее трех вариантов в различных техниках. Работа возможна на фрагменте памятника; – разработка эскизов видов окружающей местности или городской застройки (антуража) (не менее трех вариантов в различных техниках). Методические рекомендации к выполнению самостоятельной работы: 1. Вычерчивание выполняется по методу архитектора – метод построения перспективного изображения объектов по плану и фасаду. Построение в перспективе архитектурного объекта состоит из нескольких этапов и выполняется в определенной последовательности. 2. Положение линии горизонта и высота точки зрения выбирается в зависимости от высоты изображаемого объекта и целевого назначения перспективного изображения. В зависимости от высоты линии горизонта можно выделить следующие перспективные изображения: 38 – перспектива с нормальной высотой горизонта (высота линии горизонта соответствует росту человека 1,5–2 м): применяется при изображении невысоких архитектурных сооружений; – перспектива с повышенным горизонтом (линия горизонта определяется на уровне верхней трети высоты здания): применяется при изображении высотных зданий; – перспектива «с птичьего полета» (высота линии горизонта в несколько раз превышает высоту сооружения): применяется при изображении архитектурного ансамбля со зданиями различной этажности при плотной застройке либо отдельных объектов небольшой высоты, но значительной протяженности; – перспектива с опущенной линией горизонта (линия горизонта совпадает с основанием картины): применяется при изображении зданий, расположенных на горе, либо при изображении отдельных фрагментов зданий, рассматриваемых, как правило, снизу – карнизов, верхних частей колонн, расписных потолков. 3. При выполнении антуража следует иметь в виду такие понятия и определения, как вид, пейзаж, ландшафт. Под видом понимается предельно ограниченное пространство. Пейзаж – это пространство, несколько ограниченное определенными пределами в условиях зрительного восприятия. Ландшафт – это резко выраженное широкое и глубокое пространство, доминирующее в данном объекте. 4. На перспективном изображении здания следует показать объекты, изображение которых позволяет путем сравнения с ними дать зрителю представление о действительных размерах изображаемого здания. При графическом оформлении перспективы здания можно показать деревья, кустарники, пешеходные дорожки, газоны и т. д. 5. Основные техники архитектурной графики исходят из принципа «от простого к </w:t>
      </w:r>
      <w:proofErr w:type="gramStart"/>
      <w:r>
        <w:t>сложному</w:t>
      </w:r>
      <w:proofErr w:type="gramEnd"/>
      <w:r>
        <w:t xml:space="preserve">». </w:t>
      </w:r>
      <w:proofErr w:type="gramStart"/>
      <w:r>
        <w:t>На пути «от простого к сложному» сейчас прослеживаются тенденции усложнения техник.</w:t>
      </w:r>
      <w:proofErr w:type="gramEnd"/>
      <w:r>
        <w:t xml:space="preserve"> Кроме изученных ранее, рассмотрим еще несколько примеров: Стержневая графика – это графика, выполняемая стержневыми инструментами (карандашом, пером, фломастером и т. д.). В стержневой графике работают и с мягкими, сыпучими материалами (мелками): углем, соусом, пастелью, сангиной. Кистевая графика – мощное средство для выполнения эскиза. Основные инструменты этой техники – кисть, карандаш и перо. В качестве краски традиционно используются тушь, акварель, гуашь или темпера. 39 БИБЛИОГРАФИЧЕСКИЙ СПИСОК Основная литература 1. Архитектурный дизайн: словарь-справочник / Е. С. </w:t>
      </w:r>
      <w:proofErr w:type="spellStart"/>
      <w:r>
        <w:t>Агранович-Пономарева</w:t>
      </w:r>
      <w:proofErr w:type="spellEnd"/>
      <w:r>
        <w:t xml:space="preserve"> [и др.];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 xml:space="preserve">ед. Е. С. Пономаревой. – Ростов </w:t>
      </w:r>
      <w:proofErr w:type="spellStart"/>
      <w:r>
        <w:t>н</w:t>
      </w:r>
      <w:proofErr w:type="spellEnd"/>
      <w:r>
        <w:t>/Д</w:t>
      </w:r>
      <w:proofErr w:type="gramStart"/>
      <w:r>
        <w:t xml:space="preserve"> :</w:t>
      </w:r>
      <w:proofErr w:type="gramEnd"/>
      <w:r>
        <w:t xml:space="preserve"> Феникс, 2009. – 342 с. 2. </w:t>
      </w:r>
      <w:proofErr w:type="spellStart"/>
      <w:r>
        <w:t>Агранович-Пономарева</w:t>
      </w:r>
      <w:proofErr w:type="spellEnd"/>
      <w:r>
        <w:t xml:space="preserve">, Е. С. Архитектурная </w:t>
      </w:r>
      <w:proofErr w:type="spellStart"/>
      <w:r>
        <w:t>колористика</w:t>
      </w:r>
      <w:proofErr w:type="spellEnd"/>
      <w:r>
        <w:t xml:space="preserve">: практикум: учебное пособие / Е. С. </w:t>
      </w:r>
      <w:proofErr w:type="spellStart"/>
      <w:r>
        <w:t>Агранович-Пономарева</w:t>
      </w:r>
      <w:proofErr w:type="spellEnd"/>
      <w:r>
        <w:t>, А. А. Литвинова. – Минск</w:t>
      </w:r>
      <w:proofErr w:type="gramStart"/>
      <w:r>
        <w:t xml:space="preserve"> :</w:t>
      </w:r>
      <w:proofErr w:type="gramEnd"/>
      <w:r>
        <w:t xml:space="preserve"> УП «</w:t>
      </w:r>
      <w:proofErr w:type="spellStart"/>
      <w:r>
        <w:t>Технопринт</w:t>
      </w:r>
      <w:proofErr w:type="spellEnd"/>
      <w:r>
        <w:t xml:space="preserve">», 2002. – 122 с. 3. </w:t>
      </w:r>
      <w:proofErr w:type="spellStart"/>
      <w:r>
        <w:t>Агостон</w:t>
      </w:r>
      <w:proofErr w:type="spellEnd"/>
      <w:r>
        <w:t xml:space="preserve">, Ж. Теория цвета и ее применение в искусстве и дизайне / Ж. </w:t>
      </w:r>
      <w:proofErr w:type="spellStart"/>
      <w:r>
        <w:t>Агостон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Мир, 1982. – 184 с. 4. </w:t>
      </w:r>
      <w:proofErr w:type="spellStart"/>
      <w:r>
        <w:t>Арнхейм</w:t>
      </w:r>
      <w:proofErr w:type="spellEnd"/>
      <w:r>
        <w:t xml:space="preserve">, Р. Искусство и визуальное восприятие / P. </w:t>
      </w:r>
      <w:proofErr w:type="spellStart"/>
      <w:r>
        <w:t>Арнхейм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Архитектура-С, 2007. – 391 с. 5. Зайцев, К. Г. Графика и архитектурное творчество / К. Г. Зайцев. –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Стройиздат</w:t>
      </w:r>
      <w:proofErr w:type="spellEnd"/>
      <w:r>
        <w:t>, 1979. – 160 с. 6. Казаков, Ю. И. Рисунок пером: методическое пособие / Ю. И. Казаков. – Минск</w:t>
      </w:r>
      <w:proofErr w:type="gramStart"/>
      <w:r>
        <w:t xml:space="preserve"> :</w:t>
      </w:r>
      <w:proofErr w:type="gramEnd"/>
      <w:r>
        <w:t xml:space="preserve"> БПИ, 1973. – 60 с. 7. Кудряшов, К. В. Архитектурная графика: учебное пособие для вузов / К. В. Кудряшов. –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lastRenderedPageBreak/>
        <w:t>Стройиздат</w:t>
      </w:r>
      <w:proofErr w:type="spellEnd"/>
      <w:r>
        <w:t xml:space="preserve">, 1990. – 312 с. 8. Кудряшов, К. В. Проблемы изобразительного языка архитектора / К. В. Кудряшов, Л. </w:t>
      </w:r>
      <w:proofErr w:type="spellStart"/>
      <w:r>
        <w:t>Байзегуер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Стройиздат</w:t>
      </w:r>
      <w:proofErr w:type="spellEnd"/>
      <w:r>
        <w:t>, 1985. – 240 с. 9. Кудряшов, К. В. Средства и приемы изображения в архитектурной школе / К. В. Кудряшов, Е. В. Катышев. –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Стройиздат</w:t>
      </w:r>
      <w:proofErr w:type="spellEnd"/>
      <w:r>
        <w:t xml:space="preserve">, 1988. – 240 с. Дополнительная литература 1. </w:t>
      </w:r>
      <w:proofErr w:type="spellStart"/>
      <w:r>
        <w:t>Азизян</w:t>
      </w:r>
      <w:proofErr w:type="spellEnd"/>
      <w:r>
        <w:t xml:space="preserve">, И. А. Взаимодействие архитектуры с другими видами искусства: </w:t>
      </w:r>
      <w:proofErr w:type="spellStart"/>
      <w:r>
        <w:t>автореф</w:t>
      </w:r>
      <w:proofErr w:type="spellEnd"/>
      <w:r>
        <w:t xml:space="preserve">. </w:t>
      </w:r>
      <w:proofErr w:type="spellStart"/>
      <w:r>
        <w:t>дисс</w:t>
      </w:r>
      <w:proofErr w:type="spellEnd"/>
      <w:r>
        <w:t xml:space="preserve">. … доктора искусствоведения / И. А. </w:t>
      </w:r>
      <w:proofErr w:type="spellStart"/>
      <w:r>
        <w:t>Азизян</w:t>
      </w:r>
      <w:proofErr w:type="spellEnd"/>
      <w:r>
        <w:t xml:space="preserve">; </w:t>
      </w:r>
      <w:proofErr w:type="spellStart"/>
      <w:r>
        <w:t>МАрхИ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1987. – 22 с. 2. </w:t>
      </w:r>
      <w:proofErr w:type="spellStart"/>
      <w:r>
        <w:t>Айзенбарт</w:t>
      </w:r>
      <w:proofErr w:type="spellEnd"/>
      <w:r>
        <w:t xml:space="preserve">, Б. Полный курс акварели: для начинающих и студентов </w:t>
      </w:r>
      <w:proofErr w:type="spellStart"/>
      <w:r>
        <w:t>худож</w:t>
      </w:r>
      <w:proofErr w:type="spellEnd"/>
      <w:r>
        <w:t xml:space="preserve">. вузов: техника акварели, материалы, пейзаж / Б. </w:t>
      </w:r>
      <w:proofErr w:type="spellStart"/>
      <w:r>
        <w:t>Айзенбарт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Внешсигма</w:t>
      </w:r>
      <w:proofErr w:type="spellEnd"/>
      <w:r>
        <w:t xml:space="preserve">: АСТ, 1999. – 64 с. 3. </w:t>
      </w:r>
      <w:proofErr w:type="spellStart"/>
      <w:r>
        <w:t>Дубовицкая</w:t>
      </w:r>
      <w:proofErr w:type="spellEnd"/>
      <w:r>
        <w:t xml:space="preserve">, Г. А. Рисунок пером и тушью: учебно-методические указания / Г. А. </w:t>
      </w:r>
      <w:proofErr w:type="spellStart"/>
      <w:r>
        <w:t>Дубовицкая</w:t>
      </w:r>
      <w:proofErr w:type="spellEnd"/>
      <w:r>
        <w:t>, Н. В. Кожар. – Минск</w:t>
      </w:r>
      <w:proofErr w:type="gramStart"/>
      <w:r>
        <w:t xml:space="preserve"> :</w:t>
      </w:r>
      <w:proofErr w:type="gramEnd"/>
      <w:r>
        <w:t xml:space="preserve"> Универсала Пресс, 2003. – 125 с. 4. </w:t>
      </w:r>
      <w:proofErr w:type="spellStart"/>
      <w:r>
        <w:t>Джилл</w:t>
      </w:r>
      <w:proofErr w:type="spellEnd"/>
      <w:r>
        <w:t xml:space="preserve">, Р. У. Рисование пером и тушью / Р. У. </w:t>
      </w:r>
      <w:proofErr w:type="spellStart"/>
      <w:r>
        <w:t>Джилл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Высшая школа, 1983. – 240 с.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3B05"/>
    <w:rsid w:val="00435376"/>
    <w:rsid w:val="00497F8F"/>
    <w:rsid w:val="005509AE"/>
    <w:rsid w:val="00AC6E09"/>
    <w:rsid w:val="00DE3B05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1316</Words>
  <Characters>7503</Characters>
  <Application>Microsoft Office Word</Application>
  <DocSecurity>0</DocSecurity>
  <Lines>62</Lines>
  <Paragraphs>17</Paragraphs>
  <ScaleCrop>false</ScaleCrop>
  <Company>Microsoft</Company>
  <LinksUpToDate>false</LinksUpToDate>
  <CharactersWithSpaces>8802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2020-03-28T05:44:00Z</dcterms:created>
  <dcterms:modified xsi:type="dcterms:W3CDTF">2020-03-28T05:45:00Z</dcterms:modified>
</cp:coreProperties>
</file>